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2115" w14:textId="77777777" w:rsidR="00FD509A" w:rsidRPr="00FD509A" w:rsidRDefault="00FD509A" w:rsidP="00FD509A">
      <w:pPr>
        <w:spacing w:after="200" w:line="276" w:lineRule="auto"/>
        <w:rPr>
          <w:b/>
          <w:bCs/>
        </w:rPr>
      </w:pPr>
      <w:r w:rsidRPr="00FD509A">
        <w:rPr>
          <w:b/>
          <w:bCs/>
          <w:highlight w:val="yellow"/>
        </w:rPr>
        <w:t>SKLADIŠČA PO NAČINU GRADNJE</w:t>
      </w:r>
    </w:p>
    <w:p w14:paraId="4B42CBD7" w14:textId="77777777" w:rsidR="00FD509A" w:rsidRPr="00426770" w:rsidRDefault="00FD509A" w:rsidP="00FD509A">
      <w:pPr>
        <w:pStyle w:val="Odstavekseznama"/>
        <w:numPr>
          <w:ilvl w:val="0"/>
          <w:numId w:val="1"/>
        </w:numPr>
        <w:spacing w:after="200" w:line="276" w:lineRule="auto"/>
        <w:jc w:val="both"/>
      </w:pPr>
      <w:r w:rsidRPr="00426770">
        <w:rPr>
          <w:i/>
          <w:u w:val="single"/>
        </w:rPr>
        <w:t xml:space="preserve">ZAPRTA SKLADIŠČA </w:t>
      </w:r>
      <w:r w:rsidRPr="00426770">
        <w:t xml:space="preserve"> - v njih shranjujemo blago večje vrednosti in blago, ki ne prenese vlage in večjih sprememb temperature (živila, papir</w:t>
      </w:r>
      <w:r>
        <w:t>, tekstil, steklo,…</w:t>
      </w:r>
      <w:r w:rsidRPr="00426770">
        <w:t>)</w:t>
      </w:r>
      <w:r>
        <w:t>. Zgrajeno je iz trdnega materiala (zidane zgradbe) in običajno razdeljeno na več oddelkov glede na lastnosti blaga</w:t>
      </w:r>
    </w:p>
    <w:p w14:paraId="5C92CD33" w14:textId="77777777" w:rsidR="00FD509A" w:rsidRPr="00426770" w:rsidRDefault="00FD509A" w:rsidP="00FD509A">
      <w:pPr>
        <w:pStyle w:val="Odstavekseznama"/>
        <w:numPr>
          <w:ilvl w:val="0"/>
          <w:numId w:val="1"/>
        </w:numPr>
        <w:spacing w:after="200" w:line="276" w:lineRule="auto"/>
        <w:jc w:val="both"/>
      </w:pPr>
      <w:r w:rsidRPr="00426770">
        <w:rPr>
          <w:i/>
          <w:u w:val="single"/>
        </w:rPr>
        <w:t>POKRITA SKLADIŠČA</w:t>
      </w:r>
      <w:r w:rsidRPr="00426770">
        <w:t xml:space="preserve"> – imajo samo streho, zato jih imenujemo tudi »polzaprta skladišča«. V njih shranjujemo stvari, na katere ne vplivajo večje temperaturne spremembe in so lahko na vetru, vendar morajo biti zaščitene pred padavinami (za shranjevanje gradbenega materiala, rezanega lesa, keramičnih cevi,</w:t>
      </w:r>
      <w:r>
        <w:t xml:space="preserve"> avtomobilov</w:t>
      </w:r>
      <w:r w:rsidRPr="00426770">
        <w:t>…)</w:t>
      </w:r>
    </w:p>
    <w:p w14:paraId="06D7030F" w14:textId="77777777" w:rsidR="00FD509A" w:rsidRDefault="00FD509A" w:rsidP="00FD509A">
      <w:pPr>
        <w:pStyle w:val="Odstavekseznama"/>
        <w:numPr>
          <w:ilvl w:val="0"/>
          <w:numId w:val="1"/>
        </w:numPr>
        <w:spacing w:after="200" w:line="276" w:lineRule="auto"/>
        <w:jc w:val="both"/>
      </w:pPr>
      <w:r w:rsidRPr="005A1227">
        <w:rPr>
          <w:i/>
          <w:u w:val="single"/>
        </w:rPr>
        <w:t>ODPRTA SKLADIŠČA</w:t>
      </w:r>
      <w:r w:rsidRPr="005A1227">
        <w:t xml:space="preserve"> – uporabljamo jih za shranjevanje blaga, ki mu ne škodujejo klimatske spremembe in so velike teže ter prostornine (pesek, drva…). Skladišče mora biti praviloma ograjeno najmanj v višini 2m. Z bodečo žico so ograjena skladišča nevarnih snovi. Zemljišče mora biti suho, zato mora biti poskrbljeno za odtok </w:t>
      </w:r>
      <w:r>
        <w:t>meteornih</w:t>
      </w:r>
      <w:r w:rsidRPr="005A1227">
        <w:t xml:space="preserve"> voda</w:t>
      </w:r>
      <w:r>
        <w:t>. Dostopi do skladišč naj bodo valjani ali tlakovani (prepreči ugrezanje vozil)</w:t>
      </w:r>
      <w:r w:rsidRPr="005A1227">
        <w:t xml:space="preserve"> </w:t>
      </w:r>
    </w:p>
    <w:p w14:paraId="019D0EA6" w14:textId="77777777" w:rsidR="00FD509A" w:rsidRPr="005A1227" w:rsidRDefault="00FD509A" w:rsidP="00FD509A">
      <w:pPr>
        <w:pStyle w:val="Odstavekseznama"/>
        <w:numPr>
          <w:ilvl w:val="0"/>
          <w:numId w:val="1"/>
        </w:numPr>
        <w:spacing w:after="200" w:line="276" w:lineRule="auto"/>
        <w:jc w:val="both"/>
      </w:pPr>
      <w:r w:rsidRPr="005A1227">
        <w:rPr>
          <w:i/>
          <w:u w:val="single"/>
        </w:rPr>
        <w:t>SILOSI</w:t>
      </w:r>
      <w:r w:rsidRPr="005A1227">
        <w:t xml:space="preserve"> – za shranjevanje </w:t>
      </w:r>
      <w:r>
        <w:t>večjih količin blaga v razsutem stanju (</w:t>
      </w:r>
      <w:r w:rsidRPr="005A1227">
        <w:t>žita</w:t>
      </w:r>
      <w:r>
        <w:t>, sladkor, kava)</w:t>
      </w:r>
      <w:r w:rsidRPr="005A1227">
        <w:t>.</w:t>
      </w:r>
      <w:r>
        <w:t xml:space="preserve"> Polnjenje in praznjenje je avtomatsko.</w:t>
      </w:r>
    </w:p>
    <w:p w14:paraId="0147B2A0" w14:textId="77777777" w:rsidR="00FD509A" w:rsidRPr="00426770" w:rsidRDefault="00FD509A" w:rsidP="00FD509A">
      <w:pPr>
        <w:pStyle w:val="Odstavekseznama"/>
        <w:numPr>
          <w:ilvl w:val="0"/>
          <w:numId w:val="1"/>
        </w:numPr>
        <w:spacing w:after="200" w:line="276" w:lineRule="auto"/>
        <w:jc w:val="both"/>
      </w:pPr>
      <w:r w:rsidRPr="00426770">
        <w:rPr>
          <w:i/>
          <w:u w:val="single"/>
        </w:rPr>
        <w:t>HLADILNICE</w:t>
      </w:r>
      <w:r w:rsidRPr="00426770">
        <w:t xml:space="preserve"> – z</w:t>
      </w:r>
      <w:r>
        <w:t>a shranjevanje pokvarljivih</w:t>
      </w:r>
      <w:r w:rsidRPr="00426770">
        <w:t xml:space="preserve"> živil (sadje, zelenjava, meso, </w:t>
      </w:r>
      <w:r>
        <w:t xml:space="preserve">mesni izdelki, </w:t>
      </w:r>
      <w:r w:rsidRPr="00426770">
        <w:t>ribe</w:t>
      </w:r>
      <w:r>
        <w:t>,…</w:t>
      </w:r>
      <w:r w:rsidRPr="00426770">
        <w:t>)</w:t>
      </w:r>
      <w:r>
        <w:t>. To so skladišča s posebnimi hladilnimi, prezračevalnimi napravami, s katerimi se glede na značilnost blaga uravnava temperatura v prostoru, za nekatero blago pa tudi vlaga.</w:t>
      </w:r>
    </w:p>
    <w:p w14:paraId="369C6012" w14:textId="77777777" w:rsidR="00FD509A" w:rsidRPr="00426770" w:rsidRDefault="00FD509A" w:rsidP="00FD509A">
      <w:pPr>
        <w:pStyle w:val="Odstavekseznama"/>
        <w:numPr>
          <w:ilvl w:val="0"/>
          <w:numId w:val="1"/>
        </w:numPr>
        <w:spacing w:after="200" w:line="276" w:lineRule="auto"/>
        <w:jc w:val="both"/>
      </w:pPr>
      <w:r w:rsidRPr="00426770">
        <w:rPr>
          <w:i/>
          <w:u w:val="single"/>
        </w:rPr>
        <w:t>VINSKE KLETI</w:t>
      </w:r>
      <w:r w:rsidRPr="00426770">
        <w:t xml:space="preserve"> – za shranjevanje vina</w:t>
      </w:r>
      <w:r>
        <w:t xml:space="preserve"> (lahko tudi drugih pijač – npr. viski) v za to posebej pripravljenih sodih iz lesa ali aluminija. V kleteh je izjemnega pomena temperatura, ki mora biti prilagojena lastnostim blaga.</w:t>
      </w:r>
    </w:p>
    <w:p w14:paraId="3F0B0DA1" w14:textId="388E023E" w:rsidR="00FD509A" w:rsidRPr="00FD509A" w:rsidRDefault="00FD509A" w:rsidP="00FD509A">
      <w:pPr>
        <w:pStyle w:val="Odstavekseznama"/>
        <w:numPr>
          <w:ilvl w:val="0"/>
          <w:numId w:val="1"/>
        </w:numPr>
        <w:jc w:val="both"/>
        <w:rPr>
          <w:i/>
          <w:u w:val="single"/>
        </w:rPr>
      </w:pPr>
      <w:r w:rsidRPr="00426770">
        <w:rPr>
          <w:i/>
          <w:u w:val="single"/>
        </w:rPr>
        <w:lastRenderedPageBreak/>
        <w:t>SKLADIŠČA – CISTERNE</w:t>
      </w:r>
      <w:r w:rsidRPr="00426770">
        <w:t xml:space="preserve"> – vkopane so v zemljo in se rabijo za uskladiščenje tekočih goriv, nafte, bencina.</w:t>
      </w:r>
      <w:r>
        <w:t xml:space="preserve"> Potrebno je paziti na lokacijo skladišča (varnostna komponenta), ki ne sme biti v bližini mest in naselij. Polnijo in praznijo se avtomatsko.</w:t>
      </w:r>
    </w:p>
    <w:p w14:paraId="2616AAA3" w14:textId="77777777" w:rsidR="00FD509A" w:rsidRPr="00D06EEC" w:rsidRDefault="00FD509A" w:rsidP="00FD509A">
      <w:pPr>
        <w:pStyle w:val="Odstavekseznama"/>
        <w:ind w:left="1080"/>
        <w:jc w:val="both"/>
        <w:rPr>
          <w:i/>
          <w:u w:val="single"/>
        </w:rPr>
      </w:pPr>
    </w:p>
    <w:p w14:paraId="4E9CFE30" w14:textId="77777777" w:rsidR="00FD509A" w:rsidRPr="00FD509A" w:rsidRDefault="00FD509A" w:rsidP="00FD509A">
      <w:pPr>
        <w:spacing w:after="200" w:line="276" w:lineRule="auto"/>
        <w:rPr>
          <w:b/>
          <w:bCs/>
          <w:highlight w:val="yellow"/>
        </w:rPr>
      </w:pPr>
      <w:r w:rsidRPr="00FD509A">
        <w:rPr>
          <w:b/>
          <w:bCs/>
          <w:highlight w:val="yellow"/>
        </w:rPr>
        <w:t>SKLADIŠČA PO OPREMLJENOSTI</w:t>
      </w:r>
    </w:p>
    <w:p w14:paraId="0BDC238B" w14:textId="77777777" w:rsidR="00FD509A" w:rsidRPr="00426770" w:rsidRDefault="00FD509A" w:rsidP="00FD509A">
      <w:pPr>
        <w:jc w:val="both"/>
      </w:pPr>
    </w:p>
    <w:p w14:paraId="77D06282" w14:textId="77777777" w:rsidR="00FD509A" w:rsidRPr="00FD509A" w:rsidRDefault="00FD509A" w:rsidP="00FD509A">
      <w:pPr>
        <w:pStyle w:val="Odstavekseznama"/>
        <w:numPr>
          <w:ilvl w:val="0"/>
          <w:numId w:val="2"/>
        </w:numPr>
        <w:spacing w:after="200" w:line="276" w:lineRule="auto"/>
        <w:jc w:val="both"/>
        <w:rPr>
          <w:b/>
        </w:rPr>
      </w:pPr>
      <w:r w:rsidRPr="00426770">
        <w:rPr>
          <w:i/>
          <w:u w:val="single"/>
        </w:rPr>
        <w:t>VISOKOREGALNA SKLADIŠČA</w:t>
      </w:r>
      <w:r w:rsidRPr="00426770">
        <w:t xml:space="preserve"> – omogočajo veliko izkoriščenost skladiščnega prostora. Blago se nahaja na paletah, ki jih premikamo z regalnimi dvigali, ki vozijo po hodnikih med regali.</w:t>
      </w:r>
    </w:p>
    <w:p w14:paraId="15C9556E" w14:textId="77777777" w:rsidR="00FD509A" w:rsidRPr="00426770" w:rsidRDefault="00FD509A" w:rsidP="00FD509A">
      <w:pPr>
        <w:pStyle w:val="Odstavekseznama"/>
        <w:spacing w:after="200" w:line="276" w:lineRule="auto"/>
        <w:ind w:left="1080"/>
        <w:jc w:val="both"/>
        <w:rPr>
          <w:b/>
        </w:rPr>
      </w:pPr>
    </w:p>
    <w:p w14:paraId="106004B9" w14:textId="77777777" w:rsidR="00FD509A" w:rsidRPr="007244DB" w:rsidRDefault="00FD509A" w:rsidP="00FD509A">
      <w:pPr>
        <w:pStyle w:val="Odstavekseznama"/>
        <w:numPr>
          <w:ilvl w:val="0"/>
          <w:numId w:val="2"/>
        </w:numPr>
        <w:jc w:val="both"/>
        <w:rPr>
          <w:b/>
        </w:rPr>
      </w:pPr>
      <w:r w:rsidRPr="00426770">
        <w:rPr>
          <w:i/>
          <w:u w:val="single"/>
        </w:rPr>
        <w:t>PRETOČNA SKLADIŠČA</w:t>
      </w:r>
      <w:r w:rsidRPr="00426770">
        <w:t xml:space="preserve"> – omogočajo, da blago vstavljamo  na eni strani, jemljemo pa na drugi strani. Vstopna in izstopna pot za blago je ločena. Regali sestavljajo tunele, v katerih so montirane pretočne proge, po katerih blago potuje.</w:t>
      </w:r>
    </w:p>
    <w:p w14:paraId="4EA1EB79" w14:textId="77777777" w:rsidR="00FD509A" w:rsidRPr="00D06EEC" w:rsidRDefault="00FD509A" w:rsidP="00FD509A">
      <w:pPr>
        <w:pStyle w:val="Odstavekseznama"/>
        <w:ind w:left="1080"/>
        <w:jc w:val="both"/>
        <w:rPr>
          <w:b/>
        </w:rPr>
      </w:pPr>
    </w:p>
    <w:p w14:paraId="34D358A0" w14:textId="77777777" w:rsidR="00FD509A" w:rsidRPr="00FD509A" w:rsidRDefault="00FD509A" w:rsidP="00FD509A">
      <w:pPr>
        <w:spacing w:after="200" w:line="276" w:lineRule="auto"/>
        <w:rPr>
          <w:b/>
          <w:bCs/>
          <w:highlight w:val="yellow"/>
        </w:rPr>
      </w:pPr>
      <w:r w:rsidRPr="00FD509A">
        <w:rPr>
          <w:b/>
          <w:bCs/>
          <w:highlight w:val="yellow"/>
        </w:rPr>
        <w:t>SKLADIŠČA PO ORGANIZIRANOSTI</w:t>
      </w:r>
    </w:p>
    <w:p w14:paraId="2AFBB989" w14:textId="77777777" w:rsidR="00FD509A" w:rsidRPr="00426770" w:rsidRDefault="00FD509A" w:rsidP="00FD509A">
      <w:pPr>
        <w:pStyle w:val="Odstavekseznama"/>
        <w:numPr>
          <w:ilvl w:val="0"/>
          <w:numId w:val="3"/>
        </w:numPr>
        <w:spacing w:after="200" w:line="276" w:lineRule="auto"/>
        <w:jc w:val="both"/>
        <w:rPr>
          <w:b/>
        </w:rPr>
      </w:pPr>
      <w:r w:rsidRPr="00426770">
        <w:rPr>
          <w:i/>
          <w:u w:val="single"/>
        </w:rPr>
        <w:t>CENTRALNA SKLADIŠČA</w:t>
      </w:r>
      <w:r w:rsidRPr="00426770">
        <w:t xml:space="preserve"> – v njih shranjujemo blago za vse prodajalne</w:t>
      </w:r>
      <w:r>
        <w:t xml:space="preserve"> (primer: Lidl cent. skl. ob avtocesti Arja vas)</w:t>
      </w:r>
    </w:p>
    <w:p w14:paraId="16097438" w14:textId="77777777" w:rsidR="00FD509A" w:rsidRPr="008758D2" w:rsidRDefault="00FD509A" w:rsidP="00FD509A">
      <w:pPr>
        <w:pStyle w:val="Odstavekseznama"/>
        <w:numPr>
          <w:ilvl w:val="0"/>
          <w:numId w:val="3"/>
        </w:numPr>
        <w:jc w:val="both"/>
        <w:rPr>
          <w:b/>
        </w:rPr>
      </w:pPr>
      <w:r w:rsidRPr="00426770">
        <w:rPr>
          <w:i/>
          <w:u w:val="single"/>
        </w:rPr>
        <w:t>PRIROČNA SKLADIŠČA</w:t>
      </w:r>
      <w:r w:rsidRPr="00426770">
        <w:t xml:space="preserve"> – vsaka prodajalna ima svoje manjše skladišče</w:t>
      </w:r>
    </w:p>
    <w:p w14:paraId="03BC4BB5" w14:textId="77777777" w:rsidR="00FD509A" w:rsidRPr="00D06EEC" w:rsidRDefault="00FD509A" w:rsidP="00FD509A">
      <w:pPr>
        <w:pStyle w:val="Odstavekseznama"/>
        <w:ind w:left="1080"/>
        <w:jc w:val="both"/>
        <w:rPr>
          <w:b/>
        </w:rPr>
      </w:pPr>
    </w:p>
    <w:p w14:paraId="69B11D8B" w14:textId="77777777" w:rsidR="00FD509A" w:rsidRPr="00FD509A" w:rsidRDefault="00FD509A" w:rsidP="00FD509A">
      <w:pPr>
        <w:spacing w:after="200" w:line="276" w:lineRule="auto"/>
        <w:rPr>
          <w:b/>
          <w:bCs/>
          <w:highlight w:val="yellow"/>
        </w:rPr>
      </w:pPr>
      <w:r w:rsidRPr="00FD509A">
        <w:rPr>
          <w:b/>
          <w:bCs/>
          <w:highlight w:val="yellow"/>
        </w:rPr>
        <w:t>SKLADIŠČA PO VRSTAH BLAGA</w:t>
      </w:r>
    </w:p>
    <w:p w14:paraId="4AC73F94" w14:textId="77777777" w:rsidR="00FD509A" w:rsidRPr="00426770" w:rsidRDefault="00FD509A" w:rsidP="00FD509A">
      <w:pPr>
        <w:pStyle w:val="Odstavekseznama"/>
        <w:numPr>
          <w:ilvl w:val="0"/>
          <w:numId w:val="4"/>
        </w:numPr>
        <w:spacing w:after="200" w:line="276" w:lineRule="auto"/>
        <w:jc w:val="both"/>
      </w:pPr>
      <w:r w:rsidRPr="00426770">
        <w:rPr>
          <w:i/>
          <w:u w:val="single"/>
        </w:rPr>
        <w:t>SPLOŠNO SKLADIŠČE</w:t>
      </w:r>
      <w:r w:rsidRPr="00426770">
        <w:t xml:space="preserve"> – v njem shranjujemo vse vrste blaga trgovskega podjetja</w:t>
      </w:r>
    </w:p>
    <w:p w14:paraId="58DEE1B0" w14:textId="77777777" w:rsidR="00FD509A" w:rsidRPr="00A12728" w:rsidRDefault="00FD509A" w:rsidP="00FD509A">
      <w:pPr>
        <w:pStyle w:val="Odstavekseznama"/>
        <w:numPr>
          <w:ilvl w:val="0"/>
          <w:numId w:val="4"/>
        </w:numPr>
        <w:spacing w:after="200" w:line="276" w:lineRule="auto"/>
        <w:jc w:val="both"/>
      </w:pPr>
      <w:r w:rsidRPr="00426770">
        <w:rPr>
          <w:i/>
          <w:u w:val="single"/>
        </w:rPr>
        <w:t>POSEBNA SKLADIŠČA</w:t>
      </w:r>
      <w:r w:rsidRPr="00426770">
        <w:t xml:space="preserve"> – namenjena so shranjevanju samo nekaterih vrst blaga</w:t>
      </w:r>
    </w:p>
    <w:p w14:paraId="44829986" w14:textId="77777777" w:rsidR="00052317" w:rsidRDefault="00052317"/>
    <w:sectPr w:rsidR="00052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410"/>
    <w:multiLevelType w:val="hybridMultilevel"/>
    <w:tmpl w:val="FF0C2A9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0A4F87"/>
    <w:multiLevelType w:val="hybridMultilevel"/>
    <w:tmpl w:val="87648C6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451FB2"/>
    <w:multiLevelType w:val="multilevel"/>
    <w:tmpl w:val="62A4C614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37CF346C"/>
    <w:multiLevelType w:val="hybridMultilevel"/>
    <w:tmpl w:val="A49A4BA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2C6130"/>
    <w:multiLevelType w:val="hybridMultilevel"/>
    <w:tmpl w:val="733AF98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5278199">
    <w:abstractNumId w:val="0"/>
  </w:num>
  <w:num w:numId="2" w16cid:durableId="860506481">
    <w:abstractNumId w:val="4"/>
  </w:num>
  <w:num w:numId="3" w16cid:durableId="1366637505">
    <w:abstractNumId w:val="1"/>
  </w:num>
  <w:num w:numId="4" w16cid:durableId="1393651045">
    <w:abstractNumId w:val="3"/>
  </w:num>
  <w:num w:numId="5" w16cid:durableId="977564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9A"/>
    <w:rsid w:val="00052317"/>
    <w:rsid w:val="000B789B"/>
    <w:rsid w:val="00122672"/>
    <w:rsid w:val="00A72800"/>
    <w:rsid w:val="00D05A81"/>
    <w:rsid w:val="00FD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D73A"/>
  <w15:chartTrackingRefBased/>
  <w15:docId w15:val="{9FFD7825-C074-46EA-A81B-CA28BD35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D509A"/>
    <w:pPr>
      <w:spacing w:after="0" w:line="240" w:lineRule="auto"/>
    </w:pPr>
    <w:rPr>
      <w:rFonts w:ascii="Times New Roman" w:hAnsi="Times New Roman" w:cs="Times New Roman"/>
      <w:kern w:val="0"/>
      <w:sz w:val="32"/>
      <w:szCs w:val="32"/>
    </w:rPr>
  </w:style>
  <w:style w:type="paragraph" w:styleId="Naslov1">
    <w:name w:val="heading 1"/>
    <w:basedOn w:val="Navaden"/>
    <w:next w:val="Navaden"/>
    <w:link w:val="Naslov1Znak"/>
    <w:uiPriority w:val="9"/>
    <w:qFormat/>
    <w:rsid w:val="00FD5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D5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D50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D5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D50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D50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D50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D50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D50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D5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D5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D50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D509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D509A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D509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D509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D509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D509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D50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D5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D5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D5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D5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D509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D509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D509A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D5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D509A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D50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2025-11-23T18:55:00Z</dcterms:created>
  <dcterms:modified xsi:type="dcterms:W3CDTF">2025-11-23T18:56:00Z</dcterms:modified>
</cp:coreProperties>
</file>